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4866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852"/>
        <w:gridCol w:w="436"/>
        <w:gridCol w:w="4046"/>
        <w:gridCol w:w="762"/>
        <w:gridCol w:w="628"/>
        <w:gridCol w:w="629"/>
      </w:tblGrid>
      <w:tr w:rsidR="00E27E04" w:rsidRPr="002E161B" w:rsidTr="002E1CF6">
        <w:trPr>
          <w:trHeight w:val="210"/>
        </w:trPr>
        <w:tc>
          <w:tcPr>
            <w:tcW w:w="6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OLE_LINK2"/>
            <w:r w:rsidRPr="002E161B">
              <w:rPr>
                <w:rFonts w:ascii="Times New Roman" w:hAnsi="Times New Roman"/>
                <w:b/>
              </w:rPr>
              <w:t>Ambiente</w:t>
            </w:r>
          </w:p>
        </w:tc>
        <w:tc>
          <w:tcPr>
            <w:tcW w:w="4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  <w:b/>
              </w:rPr>
              <w:t>Pontos</w:t>
            </w:r>
          </w:p>
        </w:tc>
        <w:tc>
          <w:tcPr>
            <w:tcW w:w="264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  <w:b/>
              </w:rPr>
              <w:t>Critérios</w:t>
            </w:r>
          </w:p>
        </w:tc>
        <w:tc>
          <w:tcPr>
            <w:tcW w:w="125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  <w:b/>
              </w:rPr>
              <w:t>Valores</w:t>
            </w:r>
          </w:p>
        </w:tc>
      </w:tr>
      <w:tr w:rsidR="00E27E04" w:rsidRPr="002E161B" w:rsidTr="002E1CF6">
        <w:trPr>
          <w:trHeight w:val="285"/>
        </w:trPr>
        <w:tc>
          <w:tcPr>
            <w:tcW w:w="6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47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2E161B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2E161B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2E161B">
              <w:rPr>
                <w:rFonts w:ascii="Times New Roman" w:hAnsi="Times New Roman"/>
                <w:b/>
              </w:rPr>
              <w:t>NP</w:t>
            </w:r>
          </w:p>
        </w:tc>
      </w:tr>
      <w:tr w:rsidR="00E27E04" w:rsidRPr="002E161B" w:rsidTr="00E27E04">
        <w:trPr>
          <w:trHeight w:val="248"/>
        </w:trPr>
        <w:tc>
          <w:tcPr>
            <w:tcW w:w="6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  <w:b/>
              </w:rPr>
              <w:t>Interno</w:t>
            </w:r>
          </w:p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  <w:b/>
              </w:rPr>
              <w:t>Fortes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01</w:t>
            </w:r>
          </w:p>
        </w:tc>
        <w:tc>
          <w:tcPr>
            <w:tcW w:w="240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</w:rPr>
              <w:t>Localização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0,4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2</w:t>
            </w:r>
            <w:proofErr w:type="gramEnd"/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0,8</w:t>
            </w:r>
          </w:p>
        </w:tc>
      </w:tr>
      <w:tr w:rsidR="00E27E04" w:rsidRPr="002E161B" w:rsidTr="002E1CF6">
        <w:trPr>
          <w:trHeight w:val="253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02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</w:rPr>
              <w:t>Organização social e inclusão das mulheres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</w:tr>
      <w:tr w:rsidR="00E27E04" w:rsidRPr="002E161B" w:rsidTr="002E1CF6">
        <w:trPr>
          <w:trHeight w:val="243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03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Manejo sustentável do cumbaru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0,5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0,5</w:t>
            </w:r>
          </w:p>
        </w:tc>
      </w:tr>
      <w:tr w:rsidR="00E27E04" w:rsidRPr="002E161B" w:rsidTr="002E1CF6">
        <w:trPr>
          <w:trHeight w:val="243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04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Diversidade de produtos diferenciados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0,9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2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1,8</w:t>
            </w:r>
          </w:p>
        </w:tc>
      </w:tr>
      <w:tr w:rsidR="00E27E04" w:rsidRPr="002E161B" w:rsidTr="002E1CF6">
        <w:trPr>
          <w:trHeight w:val="261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05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</w:rPr>
              <w:t>Produto com identidade cultural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0,7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2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1,4</w:t>
            </w:r>
          </w:p>
        </w:tc>
      </w:tr>
      <w:tr w:rsidR="00E27E04" w:rsidRPr="002E161B" w:rsidTr="002E1CF6">
        <w:trPr>
          <w:trHeight w:val="253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06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</w:rPr>
              <w:t>Produção oriunda do extrativismo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0,8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2,4</w:t>
            </w:r>
          </w:p>
        </w:tc>
      </w:tr>
      <w:tr w:rsidR="00E27E04" w:rsidRPr="002E161B" w:rsidTr="002E1CF6">
        <w:trPr>
          <w:trHeight w:val="270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07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</w:rPr>
              <w:t>Matéria-prima nativa na região (05 meses - safra)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0,3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2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0,6</w:t>
            </w:r>
          </w:p>
        </w:tc>
      </w:tr>
      <w:tr w:rsidR="00E27E04" w:rsidRPr="002E161B" w:rsidTr="002E1CF6">
        <w:trPr>
          <w:trHeight w:val="246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08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</w:rPr>
              <w:t>Produtos possuem rótulos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0,2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4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0</w:t>
            </w:r>
            <w:proofErr w:type="gramEnd"/>
          </w:p>
        </w:tc>
      </w:tr>
      <w:tr w:rsidR="00E27E04" w:rsidRPr="002E161B" w:rsidTr="002E1CF6">
        <w:trPr>
          <w:trHeight w:val="249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09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 xml:space="preserve">Troca de experiência com outros grupos semelhantes existentes no país, durante </w:t>
            </w:r>
            <w:proofErr w:type="gramStart"/>
            <w:r w:rsidRPr="002E161B">
              <w:rPr>
                <w:rFonts w:ascii="Times New Roman" w:hAnsi="Times New Roman"/>
              </w:rPr>
              <w:t>eventos</w:t>
            </w:r>
            <w:proofErr w:type="gramEnd"/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</w:tr>
      <w:tr w:rsidR="00E27E04" w:rsidRPr="002E161B" w:rsidTr="002E1CF6">
        <w:trPr>
          <w:trHeight w:val="271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10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 xml:space="preserve">Apoio do sindicato, da Federação de Assistência Social e Educacional - FASE; do Instituto Sociedade, População Natureza - ISPN e outras </w:t>
            </w:r>
            <w:proofErr w:type="gramStart"/>
            <w:r w:rsidRPr="002E161B">
              <w:rPr>
                <w:rFonts w:ascii="Times New Roman" w:hAnsi="Times New Roman"/>
              </w:rPr>
              <w:t>instituições</w:t>
            </w:r>
            <w:proofErr w:type="gramEnd"/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</w:tr>
      <w:tr w:rsidR="00E27E04" w:rsidRPr="002E161B" w:rsidTr="002E1CF6">
        <w:trPr>
          <w:trHeight w:val="262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11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Geração de renda complementar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0,9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2,7</w:t>
            </w:r>
          </w:p>
        </w:tc>
      </w:tr>
      <w:tr w:rsidR="00E27E04" w:rsidRPr="002E161B" w:rsidTr="002E1CF6">
        <w:trPr>
          <w:trHeight w:val="237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12</w:t>
            </w:r>
          </w:p>
        </w:tc>
        <w:tc>
          <w:tcPr>
            <w:tcW w:w="24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Assistência técnica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</w:tr>
      <w:tr w:rsidR="00E27E04" w:rsidRPr="002E161B" w:rsidTr="002E1CF6">
        <w:trPr>
          <w:cantSplit/>
          <w:trHeight w:val="256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  <w:b/>
              </w:rPr>
              <w:t>Fracos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01</w:t>
            </w:r>
          </w:p>
        </w:tc>
        <w:tc>
          <w:tcPr>
            <w:tcW w:w="240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Pouco incentivo do poder público local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0,9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2</w:t>
            </w:r>
            <w:proofErr w:type="gramEnd"/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1,8</w:t>
            </w:r>
          </w:p>
        </w:tc>
      </w:tr>
      <w:tr w:rsidR="00E27E04" w:rsidRPr="002E161B" w:rsidTr="002E1CF6">
        <w:trPr>
          <w:cantSplit/>
          <w:trHeight w:val="231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02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Acessa apenas três políticas do governo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0,6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0,6</w:t>
            </w:r>
          </w:p>
        </w:tc>
      </w:tr>
      <w:tr w:rsidR="00E27E04" w:rsidRPr="002E161B" w:rsidTr="002E1CF6">
        <w:trPr>
          <w:cantSplit/>
          <w:trHeight w:val="250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03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 xml:space="preserve">Capacitação para ofertar produtos </w:t>
            </w:r>
            <w:r>
              <w:rPr>
                <w:rFonts w:ascii="Times New Roman" w:hAnsi="Times New Roman"/>
              </w:rPr>
              <w:t>visando feiras e eventos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</w:tr>
      <w:tr w:rsidR="00E27E04" w:rsidRPr="002E161B" w:rsidTr="002E1CF6">
        <w:trPr>
          <w:cantSplit/>
          <w:trHeight w:val="250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04</w:t>
            </w:r>
          </w:p>
        </w:tc>
        <w:tc>
          <w:tcPr>
            <w:tcW w:w="2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Código de barras e valor nutricional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0,1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0,1</w:t>
            </w:r>
          </w:p>
        </w:tc>
      </w:tr>
      <w:tr w:rsidR="00E27E04" w:rsidRPr="002E161B" w:rsidTr="002E1CF6">
        <w:trPr>
          <w:cantSplit/>
          <w:trHeight w:val="395"/>
        </w:trPr>
        <w:tc>
          <w:tcPr>
            <w:tcW w:w="62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2E1CF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2E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05</w:t>
            </w:r>
          </w:p>
        </w:tc>
        <w:tc>
          <w:tcPr>
            <w:tcW w:w="24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2E1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Não estão inseridas na política de inserção aos novos arranjos produtivos pautado na política de planejamento Estadual - MT+20</w:t>
            </w:r>
            <w:r w:rsidRPr="002E161B">
              <w:rPr>
                <w:rStyle w:val="Refdenotaderodap"/>
                <w:rFonts w:ascii="Times New Roman" w:hAnsi="Times New Roman"/>
              </w:rPr>
              <w:footnoteReference w:id="1"/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0,8</w:t>
            </w:r>
          </w:p>
        </w:tc>
        <w:tc>
          <w:tcPr>
            <w:tcW w:w="3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3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2E1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2,4</w:t>
            </w:r>
          </w:p>
        </w:tc>
      </w:tr>
      <w:bookmarkEnd w:id="0"/>
    </w:tbl>
    <w:p w:rsidR="00867A44" w:rsidRDefault="00867A44"/>
    <w:p w:rsidR="00E27E04" w:rsidRDefault="00E27E04"/>
    <w:p w:rsidR="00E27E04" w:rsidRDefault="00E27E04"/>
    <w:p w:rsidR="00E27E04" w:rsidRDefault="00E27E04"/>
    <w:p w:rsidR="00E27E04" w:rsidRDefault="00E27E04"/>
    <w:p w:rsidR="00E27E04" w:rsidRDefault="00E27E04"/>
    <w:p w:rsidR="00E27E04" w:rsidRDefault="00E27E04"/>
    <w:p w:rsidR="00E27E04" w:rsidRDefault="00E27E04"/>
    <w:p w:rsidR="00E27E04" w:rsidRDefault="00E27E04"/>
    <w:tbl>
      <w:tblPr>
        <w:tblpPr w:leftFromText="141" w:rightFromText="141" w:vertAnchor="text" w:tblpY="1"/>
        <w:tblOverlap w:val="never"/>
        <w:tblW w:w="4866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27"/>
        <w:gridCol w:w="1166"/>
        <w:gridCol w:w="3167"/>
        <w:gridCol w:w="490"/>
        <w:gridCol w:w="509"/>
        <w:gridCol w:w="492"/>
      </w:tblGrid>
      <w:tr w:rsidR="00E27E04" w:rsidRPr="002E161B" w:rsidTr="00E27E04">
        <w:trPr>
          <w:trHeight w:val="210"/>
        </w:trPr>
        <w:tc>
          <w:tcPr>
            <w:tcW w:w="668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  <w:b/>
              </w:rPr>
              <w:lastRenderedPageBreak/>
              <w:t>Ambiente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  <w:b/>
              </w:rPr>
              <w:t>Pontos</w:t>
            </w:r>
          </w:p>
        </w:tc>
        <w:tc>
          <w:tcPr>
            <w:tcW w:w="255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  <w:b/>
              </w:rPr>
              <w:t>Critérios</w:t>
            </w:r>
          </w:p>
        </w:tc>
        <w:tc>
          <w:tcPr>
            <w:tcW w:w="88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  <w:b/>
              </w:rPr>
              <w:t>Valores</w:t>
            </w:r>
          </w:p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E27E04" w:rsidRPr="002E161B" w:rsidTr="00E27E04">
        <w:trPr>
          <w:trHeight w:val="171"/>
        </w:trPr>
        <w:tc>
          <w:tcPr>
            <w:tcW w:w="66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hAnsi="Times New Roman"/>
                <w:b/>
              </w:rPr>
              <w:t>NP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hAnsi="Times New Roman"/>
                <w:b/>
              </w:rPr>
              <w:t>P</w:t>
            </w:r>
          </w:p>
        </w:tc>
      </w:tr>
      <w:tr w:rsidR="00E27E04" w:rsidRPr="002E161B" w:rsidTr="00E27E04">
        <w:trPr>
          <w:trHeight w:val="396"/>
        </w:trPr>
        <w:tc>
          <w:tcPr>
            <w:tcW w:w="66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" w:name="OLE_LINK1"/>
            <w:r w:rsidRPr="002E161B">
              <w:rPr>
                <w:rFonts w:ascii="Times New Roman" w:hAnsi="Times New Roman"/>
                <w:b/>
              </w:rPr>
              <w:t>Externo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61B">
              <w:rPr>
                <w:rFonts w:ascii="Times New Roman" w:hAnsi="Times New Roman"/>
                <w:b/>
              </w:rPr>
              <w:t>Ameaças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01</w:t>
            </w:r>
          </w:p>
        </w:tc>
        <w:tc>
          <w:tcPr>
            <w:tcW w:w="18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Burocracia no acesso as políticas de fomento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0,7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0,7</w:t>
            </w:r>
          </w:p>
        </w:tc>
      </w:tr>
      <w:tr w:rsidR="00E27E04" w:rsidRPr="002E161B" w:rsidTr="00E27E04">
        <w:trPr>
          <w:trHeight w:val="390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02</w:t>
            </w:r>
          </w:p>
        </w:tc>
        <w:tc>
          <w:tcPr>
            <w:tcW w:w="18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Falta de condições legais para a produção e comercialização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0,6</w:t>
            </w:r>
          </w:p>
        </w:tc>
        <w:tc>
          <w:tcPr>
            <w:tcW w:w="30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1,8</w:t>
            </w:r>
          </w:p>
        </w:tc>
      </w:tr>
      <w:tr w:rsidR="00E27E04" w:rsidRPr="002E161B" w:rsidTr="00E27E04">
        <w:trPr>
          <w:trHeight w:val="396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03</w:t>
            </w:r>
          </w:p>
        </w:tc>
        <w:tc>
          <w:tcPr>
            <w:tcW w:w="18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Dificuldade de inserção dos produtos no mercado</w:t>
            </w:r>
          </w:p>
        </w:tc>
        <w:tc>
          <w:tcPr>
            <w:tcW w:w="28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0,4</w:t>
            </w:r>
          </w:p>
        </w:tc>
        <w:tc>
          <w:tcPr>
            <w:tcW w:w="3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0,4</w:t>
            </w:r>
          </w:p>
        </w:tc>
      </w:tr>
      <w:tr w:rsidR="00E27E04" w:rsidRPr="002E161B" w:rsidTr="00E27E04">
        <w:trPr>
          <w:trHeight w:val="276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  <w:b/>
              </w:rPr>
              <w:t>Oportunidades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tabs>
                <w:tab w:val="left" w:pos="1800"/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01</w:t>
            </w:r>
          </w:p>
        </w:tc>
        <w:tc>
          <w:tcPr>
            <w:tcW w:w="1866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Localização próxima a BR-070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</w:tr>
      <w:tr w:rsidR="00E27E04" w:rsidRPr="002E161B" w:rsidTr="00E27E04">
        <w:trPr>
          <w:trHeight w:val="339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tabs>
                <w:tab w:val="left" w:pos="1800"/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02</w:t>
            </w:r>
          </w:p>
        </w:tc>
        <w:tc>
          <w:tcPr>
            <w:tcW w:w="1866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O município de Cáceres faz parte dos 65 Indutores do Turismo</w:t>
            </w:r>
          </w:p>
        </w:tc>
        <w:tc>
          <w:tcPr>
            <w:tcW w:w="28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3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29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</w:tr>
      <w:tr w:rsidR="00E27E04" w:rsidRPr="002E161B" w:rsidTr="00E27E04">
        <w:trPr>
          <w:trHeight w:val="252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tabs>
                <w:tab w:val="left" w:pos="1800"/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03</w:t>
            </w:r>
          </w:p>
        </w:tc>
        <w:tc>
          <w:tcPr>
            <w:tcW w:w="1866" w:type="pc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Excedente de Produção</w:t>
            </w:r>
          </w:p>
        </w:tc>
        <w:tc>
          <w:tcPr>
            <w:tcW w:w="289" w:type="pc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0,1</w:t>
            </w:r>
          </w:p>
        </w:tc>
        <w:tc>
          <w:tcPr>
            <w:tcW w:w="300" w:type="pc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290" w:type="pc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0,1</w:t>
            </w:r>
          </w:p>
        </w:tc>
      </w:tr>
      <w:tr w:rsidR="00E27E04" w:rsidRPr="002E161B" w:rsidTr="00E27E04">
        <w:trPr>
          <w:trHeight w:val="255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04</w:t>
            </w:r>
          </w:p>
        </w:tc>
        <w:tc>
          <w:tcPr>
            <w:tcW w:w="1866" w:type="pct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Uso de outros frutos para diversificação da produção</w:t>
            </w:r>
          </w:p>
        </w:tc>
        <w:tc>
          <w:tcPr>
            <w:tcW w:w="289" w:type="pct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0,6</w:t>
            </w:r>
          </w:p>
        </w:tc>
        <w:tc>
          <w:tcPr>
            <w:tcW w:w="300" w:type="pct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2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1,2</w:t>
            </w:r>
          </w:p>
        </w:tc>
      </w:tr>
      <w:tr w:rsidR="00E27E04" w:rsidRPr="002E161B" w:rsidTr="00E27E04">
        <w:trPr>
          <w:trHeight w:val="396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05</w:t>
            </w:r>
          </w:p>
        </w:tc>
        <w:tc>
          <w:tcPr>
            <w:tcW w:w="186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Novos mercados para produtos diferenciado, ecológicos e de agricultura familiar, etc.</w:t>
            </w:r>
          </w:p>
        </w:tc>
        <w:tc>
          <w:tcPr>
            <w:tcW w:w="28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0,7</w:t>
            </w:r>
          </w:p>
        </w:tc>
        <w:tc>
          <w:tcPr>
            <w:tcW w:w="30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2,1</w:t>
            </w:r>
          </w:p>
        </w:tc>
      </w:tr>
      <w:tr w:rsidR="00E27E04" w:rsidRPr="002E161B" w:rsidTr="00E27E04">
        <w:trPr>
          <w:trHeight w:val="276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06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Políticas públicas para melhoria e fomento dos produtos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2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1,6</w:t>
            </w:r>
          </w:p>
        </w:tc>
      </w:tr>
      <w:tr w:rsidR="00E27E04" w:rsidRPr="002E161B" w:rsidTr="00E27E04">
        <w:trPr>
          <w:trHeight w:val="251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07</w:t>
            </w:r>
          </w:p>
        </w:tc>
        <w:tc>
          <w:tcPr>
            <w:tcW w:w="18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Produto para consumo com acessibilidade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0,6</w:t>
            </w:r>
          </w:p>
        </w:tc>
        <w:tc>
          <w:tcPr>
            <w:tcW w:w="30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1,8</w:t>
            </w:r>
          </w:p>
        </w:tc>
      </w:tr>
      <w:tr w:rsidR="00E27E04" w:rsidRPr="002E161B" w:rsidTr="00E27E04">
        <w:trPr>
          <w:trHeight w:val="253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08</w:t>
            </w:r>
          </w:p>
        </w:tc>
        <w:tc>
          <w:tcPr>
            <w:tcW w:w="18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Crescimento na comercialização de produtos diferenciado na região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0,3</w:t>
            </w:r>
          </w:p>
        </w:tc>
        <w:tc>
          <w:tcPr>
            <w:tcW w:w="30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0,3</w:t>
            </w:r>
          </w:p>
        </w:tc>
      </w:tr>
      <w:tr w:rsidR="00E27E04" w:rsidRPr="002E161B" w:rsidTr="00E27E04">
        <w:trPr>
          <w:trHeight w:val="258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09</w:t>
            </w:r>
          </w:p>
        </w:tc>
        <w:tc>
          <w:tcPr>
            <w:tcW w:w="18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Premiações para mulheres que desenvolvem trabalhos sustentáveis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0,1</w:t>
            </w:r>
          </w:p>
        </w:tc>
        <w:tc>
          <w:tcPr>
            <w:tcW w:w="30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0,3</w:t>
            </w:r>
          </w:p>
        </w:tc>
      </w:tr>
      <w:tr w:rsidR="00E27E04" w:rsidRPr="002E161B" w:rsidTr="00E27E04">
        <w:trPr>
          <w:trHeight w:val="258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10</w:t>
            </w:r>
          </w:p>
        </w:tc>
        <w:tc>
          <w:tcPr>
            <w:tcW w:w="18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 xml:space="preserve">Possibilidade de integração a Rota da </w:t>
            </w:r>
            <w:proofErr w:type="spellStart"/>
            <w:r w:rsidRPr="002E161B">
              <w:rPr>
                <w:rFonts w:ascii="Times New Roman" w:hAnsi="Times New Roman"/>
              </w:rPr>
              <w:t>Piraputanga</w:t>
            </w:r>
            <w:proofErr w:type="spellEnd"/>
            <w:r w:rsidRPr="002E161B">
              <w:rPr>
                <w:rStyle w:val="Refdenotaderodap"/>
                <w:rFonts w:ascii="Times New Roman" w:hAnsi="Times New Roman"/>
              </w:rPr>
              <w:footnoteReference w:id="2"/>
            </w:r>
            <w:r w:rsidRPr="002E161B">
              <w:rPr>
                <w:rFonts w:ascii="Times New Roman" w:hAnsi="Times New Roman"/>
              </w:rPr>
              <w:t xml:space="preserve"> que está </w:t>
            </w:r>
            <w:r w:rsidRPr="002E161B">
              <w:rPr>
                <w:rFonts w:ascii="Times New Roman" w:hAnsi="Times New Roman"/>
              </w:rPr>
              <w:lastRenderedPageBreak/>
              <w:t xml:space="preserve">sendo planejada 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lastRenderedPageBreak/>
              <w:t>0,3</w:t>
            </w:r>
          </w:p>
        </w:tc>
        <w:tc>
          <w:tcPr>
            <w:tcW w:w="30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2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0,6</w:t>
            </w:r>
          </w:p>
        </w:tc>
      </w:tr>
      <w:tr w:rsidR="00E27E04" w:rsidRPr="002E161B" w:rsidTr="00E27E04">
        <w:trPr>
          <w:trHeight w:val="258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11</w:t>
            </w:r>
          </w:p>
        </w:tc>
        <w:tc>
          <w:tcPr>
            <w:tcW w:w="18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Integração como subproduto da Rota das Águas</w:t>
            </w:r>
            <w:r w:rsidRPr="002E161B">
              <w:rPr>
                <w:rStyle w:val="Refdenotaderodap"/>
                <w:rFonts w:ascii="Times New Roman" w:hAnsi="Times New Roman"/>
              </w:rPr>
              <w:footnoteReference w:id="3"/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0,2</w:t>
            </w:r>
          </w:p>
        </w:tc>
        <w:tc>
          <w:tcPr>
            <w:tcW w:w="30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2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0,4</w:t>
            </w:r>
          </w:p>
        </w:tc>
      </w:tr>
      <w:tr w:rsidR="00E27E04" w:rsidRPr="002E161B" w:rsidTr="00E27E04">
        <w:trPr>
          <w:trHeight w:val="258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12</w:t>
            </w:r>
          </w:p>
        </w:tc>
        <w:tc>
          <w:tcPr>
            <w:tcW w:w="18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Produto poderá ser agregado como subproduto do Consórcio Intermunicipal de Desenvolvimento Econômico, Social, Ambiental e Turístico do Complexo Nascentes do Pantanal</w:t>
            </w:r>
            <w:proofErr w:type="gramStart"/>
            <w:r w:rsidRPr="002E161B">
              <w:rPr>
                <w:rStyle w:val="Refdenotaderodap"/>
                <w:rFonts w:ascii="Times New Roman" w:hAnsi="Times New Roman"/>
              </w:rPr>
              <w:footnoteReference w:id="4"/>
            </w:r>
            <w:proofErr w:type="gramEnd"/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0,1</w:t>
            </w:r>
          </w:p>
        </w:tc>
        <w:tc>
          <w:tcPr>
            <w:tcW w:w="30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2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0,2</w:t>
            </w:r>
          </w:p>
        </w:tc>
      </w:tr>
      <w:tr w:rsidR="00E27E04" w:rsidRPr="002E161B" w:rsidTr="00E27E04">
        <w:trPr>
          <w:trHeight w:val="258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13</w:t>
            </w:r>
          </w:p>
        </w:tc>
        <w:tc>
          <w:tcPr>
            <w:tcW w:w="18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Ampliação do planejamento de marketing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0,8</w:t>
            </w:r>
          </w:p>
        </w:tc>
        <w:tc>
          <w:tcPr>
            <w:tcW w:w="30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2,4</w:t>
            </w:r>
          </w:p>
        </w:tc>
      </w:tr>
      <w:tr w:rsidR="00E27E04" w:rsidRPr="002E161B" w:rsidTr="00E27E04">
        <w:trPr>
          <w:trHeight w:val="258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14</w:t>
            </w:r>
          </w:p>
        </w:tc>
        <w:tc>
          <w:tcPr>
            <w:tcW w:w="18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Distribuição dos produtos no comercio local (lojas de conveniência, casas de artesanatos e pontos de vendas estratégicos para atingir o publico alvo - turistas, bem como a comunidade local</w:t>
            </w:r>
            <w:proofErr w:type="gramStart"/>
            <w:r w:rsidRPr="002E161B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0,9</w:t>
            </w:r>
          </w:p>
        </w:tc>
        <w:tc>
          <w:tcPr>
            <w:tcW w:w="30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2,7</w:t>
            </w:r>
          </w:p>
        </w:tc>
      </w:tr>
      <w:tr w:rsidR="00E27E04" w:rsidRPr="002E161B" w:rsidTr="00E27E04">
        <w:trPr>
          <w:trHeight w:val="258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15</w:t>
            </w:r>
          </w:p>
        </w:tc>
        <w:tc>
          <w:tcPr>
            <w:tcW w:w="18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Comercialização diretamente ao consumidor final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1</w:t>
            </w:r>
            <w:proofErr w:type="gramEnd"/>
          </w:p>
        </w:tc>
        <w:tc>
          <w:tcPr>
            <w:tcW w:w="30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</w:tr>
      <w:tr w:rsidR="00E27E04" w:rsidRPr="002E161B" w:rsidTr="00E27E04">
        <w:trPr>
          <w:trHeight w:val="258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16</w:t>
            </w:r>
          </w:p>
        </w:tc>
        <w:tc>
          <w:tcPr>
            <w:tcW w:w="18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Nova atividade integrada aos sistemas de produção existente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0,3</w:t>
            </w:r>
          </w:p>
        </w:tc>
        <w:tc>
          <w:tcPr>
            <w:tcW w:w="30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0,9</w:t>
            </w:r>
          </w:p>
        </w:tc>
      </w:tr>
      <w:tr w:rsidR="00E27E04" w:rsidRPr="002E161B" w:rsidTr="00E27E04">
        <w:trPr>
          <w:trHeight w:val="261"/>
        </w:trPr>
        <w:tc>
          <w:tcPr>
            <w:tcW w:w="66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17</w:t>
            </w:r>
          </w:p>
        </w:tc>
        <w:tc>
          <w:tcPr>
            <w:tcW w:w="18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E04" w:rsidRPr="002E161B" w:rsidRDefault="00E27E04" w:rsidP="00E27E0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161B">
              <w:rPr>
                <w:rFonts w:ascii="Times New Roman" w:hAnsi="Times New Roman"/>
              </w:rPr>
              <w:t>Potencial de expansão do turismo rural na região</w:t>
            </w:r>
          </w:p>
        </w:tc>
        <w:tc>
          <w:tcPr>
            <w:tcW w:w="28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0,4</w:t>
            </w:r>
          </w:p>
        </w:tc>
        <w:tc>
          <w:tcPr>
            <w:tcW w:w="3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E161B">
              <w:rPr>
                <w:rFonts w:ascii="Times New Roman" w:eastAsia="Calibri" w:hAnsi="Times New Roman"/>
              </w:rPr>
              <w:t>3</w:t>
            </w:r>
            <w:proofErr w:type="gramEnd"/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E04" w:rsidRPr="002E161B" w:rsidRDefault="00E27E04" w:rsidP="00E2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161B">
              <w:rPr>
                <w:rFonts w:ascii="Times New Roman" w:eastAsia="Calibri" w:hAnsi="Times New Roman"/>
              </w:rPr>
              <w:t>1,2</w:t>
            </w:r>
          </w:p>
        </w:tc>
      </w:tr>
    </w:tbl>
    <w:p w:rsidR="00E27E04" w:rsidRDefault="00E27E04" w:rsidP="004655AB">
      <w:bookmarkStart w:id="2" w:name="_GoBack"/>
      <w:bookmarkEnd w:id="1"/>
      <w:bookmarkEnd w:id="2"/>
    </w:p>
    <w:sectPr w:rsidR="00E27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70" w:rsidRDefault="00DA7970" w:rsidP="00E27E04">
      <w:pPr>
        <w:spacing w:after="0" w:line="240" w:lineRule="auto"/>
      </w:pPr>
      <w:r>
        <w:separator/>
      </w:r>
    </w:p>
  </w:endnote>
  <w:endnote w:type="continuationSeparator" w:id="0">
    <w:p w:rsidR="00DA7970" w:rsidRDefault="00DA7970" w:rsidP="00E2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70" w:rsidRDefault="00DA7970" w:rsidP="00E27E04">
      <w:pPr>
        <w:spacing w:after="0" w:line="240" w:lineRule="auto"/>
      </w:pPr>
      <w:r>
        <w:separator/>
      </w:r>
    </w:p>
  </w:footnote>
  <w:footnote w:type="continuationSeparator" w:id="0">
    <w:p w:rsidR="00DA7970" w:rsidRDefault="00DA7970" w:rsidP="00E27E04">
      <w:pPr>
        <w:spacing w:after="0" w:line="240" w:lineRule="auto"/>
      </w:pPr>
      <w:r>
        <w:continuationSeparator/>
      </w:r>
    </w:p>
  </w:footnote>
  <w:footnote w:id="1">
    <w:p w:rsidR="00E27E04" w:rsidRPr="003E48D9" w:rsidRDefault="00E27E04" w:rsidP="00E27E04">
      <w:pPr>
        <w:pStyle w:val="Textodenotaderodap"/>
        <w:spacing w:after="0" w:line="240" w:lineRule="auto"/>
        <w:jc w:val="both"/>
        <w:rPr>
          <w:rFonts w:ascii="Times New Roman" w:hAnsi="Times New Roman"/>
          <w:lang w:val="pt-BR"/>
        </w:rPr>
      </w:pPr>
      <w:r w:rsidRPr="003E48D9">
        <w:rPr>
          <w:rStyle w:val="Refdenotaderodap"/>
          <w:rFonts w:ascii="Times New Roman" w:hAnsi="Times New Roman"/>
        </w:rPr>
        <w:footnoteRef/>
      </w:r>
      <w:r w:rsidRPr="003E48D9">
        <w:rPr>
          <w:rFonts w:ascii="Times New Roman" w:hAnsi="Times New Roman"/>
        </w:rPr>
        <w:t xml:space="preserve"> </w:t>
      </w:r>
      <w:r w:rsidRPr="003E48D9">
        <w:rPr>
          <w:rFonts w:ascii="Times New Roman" w:hAnsi="Times New Roman"/>
          <w:lang w:val="pt-BR"/>
        </w:rPr>
        <w:t>MT+20</w:t>
      </w:r>
      <w:r>
        <w:rPr>
          <w:rFonts w:ascii="Times New Roman" w:hAnsi="Times New Roman"/>
          <w:lang w:val="pt-BR"/>
        </w:rPr>
        <w:t xml:space="preserve"> é a política de planejamento </w:t>
      </w:r>
      <w:r w:rsidRPr="00553194">
        <w:rPr>
          <w:rFonts w:ascii="Times New Roman" w:hAnsi="Times New Roman"/>
          <w:lang w:val="pt-BR"/>
        </w:rPr>
        <w:t>estratégico</w:t>
      </w:r>
      <w:r>
        <w:rPr>
          <w:rFonts w:ascii="Times New Roman" w:hAnsi="Times New Roman"/>
          <w:lang w:val="pt-BR"/>
        </w:rPr>
        <w:t xml:space="preserve"> do Estado de Mato Grosso, visando os próximos 20 anos (2006-2026), sendo que este </w:t>
      </w:r>
      <w:r w:rsidRPr="00553194">
        <w:rPr>
          <w:rFonts w:ascii="Times New Roman" w:hAnsi="Times New Roman"/>
          <w:lang w:val="pt-BR"/>
        </w:rPr>
        <w:t xml:space="preserve">processo </w:t>
      </w:r>
      <w:r>
        <w:rPr>
          <w:rFonts w:ascii="Times New Roman" w:hAnsi="Times New Roman"/>
          <w:lang w:val="pt-BR"/>
        </w:rPr>
        <w:t>deve ser permanente e contí</w:t>
      </w:r>
      <w:r w:rsidRPr="00553194">
        <w:rPr>
          <w:rFonts w:ascii="Times New Roman" w:hAnsi="Times New Roman"/>
          <w:lang w:val="pt-BR"/>
        </w:rPr>
        <w:t>nuo d</w:t>
      </w:r>
      <w:r>
        <w:rPr>
          <w:rFonts w:ascii="Times New Roman" w:hAnsi="Times New Roman"/>
          <w:lang w:val="pt-BR"/>
        </w:rPr>
        <w:t xml:space="preserve">entro das </w:t>
      </w:r>
      <w:r w:rsidRPr="00553194">
        <w:rPr>
          <w:rFonts w:ascii="Times New Roman" w:hAnsi="Times New Roman"/>
          <w:lang w:val="pt-BR"/>
        </w:rPr>
        <w:t>propostas</w:t>
      </w:r>
      <w:r>
        <w:rPr>
          <w:rFonts w:ascii="Times New Roman" w:hAnsi="Times New Roman"/>
          <w:lang w:val="pt-BR"/>
        </w:rPr>
        <w:t xml:space="preserve"> de promoção para</w:t>
      </w:r>
      <w:r w:rsidRPr="00553194">
        <w:rPr>
          <w:rFonts w:ascii="Times New Roman" w:hAnsi="Times New Roman"/>
          <w:lang w:val="pt-BR"/>
        </w:rPr>
        <w:t xml:space="preserve"> o desenvolvimento sustentável d</w:t>
      </w:r>
      <w:r>
        <w:rPr>
          <w:rFonts w:ascii="Times New Roman" w:hAnsi="Times New Roman"/>
          <w:lang w:val="pt-BR"/>
        </w:rPr>
        <w:t>o Estado</w:t>
      </w:r>
      <w:r w:rsidRPr="00553194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>com base em um</w:t>
      </w:r>
      <w:r w:rsidRPr="00553194">
        <w:rPr>
          <w:rFonts w:ascii="Times New Roman" w:hAnsi="Times New Roman"/>
          <w:lang w:val="pt-BR"/>
        </w:rPr>
        <w:t xml:space="preserve"> processo ordenado e</w:t>
      </w:r>
      <w:r>
        <w:rPr>
          <w:rFonts w:ascii="Times New Roman" w:hAnsi="Times New Roman"/>
          <w:lang w:val="pt-BR"/>
        </w:rPr>
        <w:t xml:space="preserve"> </w:t>
      </w:r>
      <w:r w:rsidRPr="00553194">
        <w:rPr>
          <w:rFonts w:ascii="Times New Roman" w:hAnsi="Times New Roman"/>
          <w:lang w:val="pt-BR"/>
        </w:rPr>
        <w:t>sistemático de tomadas de decisões, segui</w:t>
      </w:r>
      <w:r>
        <w:rPr>
          <w:rFonts w:ascii="Times New Roman" w:hAnsi="Times New Roman"/>
          <w:lang w:val="pt-BR"/>
        </w:rPr>
        <w:t>n</w:t>
      </w:r>
      <w:r w:rsidRPr="00553194">
        <w:rPr>
          <w:rFonts w:ascii="Times New Roman" w:hAnsi="Times New Roman"/>
          <w:lang w:val="pt-BR"/>
        </w:rPr>
        <w:t>do ações que possam ser executadas para a</w:t>
      </w:r>
      <w:r>
        <w:rPr>
          <w:rFonts w:ascii="Times New Roman" w:hAnsi="Times New Roman"/>
          <w:lang w:val="pt-BR"/>
        </w:rPr>
        <w:t xml:space="preserve"> </w:t>
      </w:r>
      <w:r w:rsidRPr="00553194">
        <w:rPr>
          <w:rFonts w:ascii="Times New Roman" w:hAnsi="Times New Roman"/>
          <w:lang w:val="pt-BR"/>
        </w:rPr>
        <w:t xml:space="preserve">construção de um futuro desejado, </w:t>
      </w:r>
      <w:proofErr w:type="gramStart"/>
      <w:r w:rsidRPr="00553194">
        <w:rPr>
          <w:rFonts w:ascii="Times New Roman" w:hAnsi="Times New Roman"/>
          <w:lang w:val="pt-BR"/>
        </w:rPr>
        <w:t xml:space="preserve">a </w:t>
      </w:r>
      <w:r>
        <w:rPr>
          <w:rFonts w:ascii="Times New Roman" w:hAnsi="Times New Roman"/>
          <w:lang w:val="pt-BR"/>
        </w:rPr>
        <w:t>curto</w:t>
      </w:r>
      <w:proofErr w:type="gramEnd"/>
      <w:r>
        <w:rPr>
          <w:rFonts w:ascii="Times New Roman" w:hAnsi="Times New Roman"/>
          <w:lang w:val="pt-BR"/>
        </w:rPr>
        <w:t xml:space="preserve">, médio e </w:t>
      </w:r>
      <w:r w:rsidRPr="00553194">
        <w:rPr>
          <w:rFonts w:ascii="Times New Roman" w:hAnsi="Times New Roman"/>
          <w:lang w:val="pt-BR"/>
        </w:rPr>
        <w:t>longo prazo.</w:t>
      </w:r>
    </w:p>
  </w:footnote>
  <w:footnote w:id="2">
    <w:p w:rsidR="00E27E04" w:rsidRPr="00B131F6" w:rsidRDefault="00E27E04" w:rsidP="00E27E04">
      <w:pPr>
        <w:spacing w:after="0" w:line="240" w:lineRule="auto"/>
        <w:jc w:val="both"/>
        <w:rPr>
          <w:rFonts w:ascii="Times New Roman" w:hAnsi="Times New Roman"/>
        </w:rPr>
      </w:pPr>
      <w:r w:rsidRPr="00B131F6">
        <w:rPr>
          <w:rStyle w:val="Refdenotaderodap"/>
          <w:rFonts w:ascii="Times New Roman" w:hAnsi="Times New Roman"/>
          <w:sz w:val="20"/>
          <w:szCs w:val="20"/>
        </w:rPr>
        <w:footnoteRef/>
      </w:r>
      <w:r w:rsidRPr="00B131F6">
        <w:rPr>
          <w:rFonts w:ascii="Times New Roman" w:hAnsi="Times New Roman"/>
          <w:sz w:val="20"/>
          <w:szCs w:val="20"/>
        </w:rPr>
        <w:t xml:space="preserve"> A rota da </w:t>
      </w:r>
      <w:proofErr w:type="spellStart"/>
      <w:r w:rsidRPr="00B131F6">
        <w:rPr>
          <w:rFonts w:ascii="Times New Roman" w:hAnsi="Times New Roman"/>
          <w:sz w:val="20"/>
          <w:szCs w:val="20"/>
        </w:rPr>
        <w:t>Piraputanga</w:t>
      </w:r>
      <w:proofErr w:type="spellEnd"/>
      <w:r w:rsidRPr="00B131F6">
        <w:rPr>
          <w:rFonts w:ascii="Times New Roman" w:hAnsi="Times New Roman"/>
          <w:sz w:val="20"/>
          <w:szCs w:val="20"/>
        </w:rPr>
        <w:t xml:space="preserve"> é uma iniciativa de formatar um produto turístico considerando o potencial das propriedades e dos produtos gerados no âmbito da comunidade da região do Córrego da </w:t>
      </w:r>
      <w:proofErr w:type="spellStart"/>
      <w:r w:rsidRPr="00B131F6">
        <w:rPr>
          <w:rFonts w:ascii="Times New Roman" w:hAnsi="Times New Roman"/>
          <w:sz w:val="20"/>
          <w:szCs w:val="20"/>
        </w:rPr>
        <w:t>Piraputanga</w:t>
      </w:r>
      <w:proofErr w:type="spellEnd"/>
      <w:r w:rsidRPr="00B131F6">
        <w:rPr>
          <w:rFonts w:ascii="Times New Roman" w:hAnsi="Times New Roman"/>
          <w:sz w:val="20"/>
          <w:szCs w:val="20"/>
        </w:rPr>
        <w:t xml:space="preserve">, como forma de valorizar, ofertar e divulgar o artesanato, a gastronomia e as tradições culturais e históricas dos produtores dessa comunidade. A Associação de Produtores Rurais da </w:t>
      </w:r>
      <w:proofErr w:type="spellStart"/>
      <w:r>
        <w:rPr>
          <w:rFonts w:ascii="Times New Roman" w:hAnsi="Times New Roman"/>
          <w:sz w:val="20"/>
          <w:szCs w:val="20"/>
        </w:rPr>
        <w:t>Piraputanga</w:t>
      </w:r>
      <w:proofErr w:type="spellEnd"/>
      <w:r>
        <w:rPr>
          <w:rFonts w:ascii="Times New Roman" w:hAnsi="Times New Roman"/>
          <w:sz w:val="20"/>
          <w:szCs w:val="20"/>
        </w:rPr>
        <w:t xml:space="preserve"> – APROPIRA – planeja</w:t>
      </w:r>
      <w:r w:rsidRPr="00B131F6">
        <w:rPr>
          <w:rFonts w:ascii="Times New Roman" w:hAnsi="Times New Roman"/>
          <w:sz w:val="20"/>
          <w:szCs w:val="20"/>
        </w:rPr>
        <w:t xml:space="preserve"> a formatação de um roteiro turístico que contemple as propriedades que tem produção e interesse em abrir as porteiras para visitação, como algumas que já oferecem serviços na área de gastronomia e lazer. Esse roteiro será composto por </w:t>
      </w:r>
      <w:proofErr w:type="gramStart"/>
      <w:r w:rsidRPr="00B131F6">
        <w:rPr>
          <w:rFonts w:ascii="Times New Roman" w:hAnsi="Times New Roman"/>
          <w:sz w:val="20"/>
          <w:szCs w:val="20"/>
        </w:rPr>
        <w:t>cerca de 27</w:t>
      </w:r>
      <w:proofErr w:type="gramEnd"/>
      <w:r w:rsidRPr="00B131F6">
        <w:rPr>
          <w:rFonts w:ascii="Times New Roman" w:hAnsi="Times New Roman"/>
          <w:sz w:val="20"/>
          <w:szCs w:val="20"/>
        </w:rPr>
        <w:t xml:space="preserve"> produtores (com possibilidade de expansão), localizada </w:t>
      </w:r>
      <w:r w:rsidRPr="00B131F6">
        <w:rPr>
          <w:rFonts w:ascii="Times New Roman" w:hAnsi="Times New Roman"/>
          <w:color w:val="000000"/>
          <w:sz w:val="20"/>
          <w:szCs w:val="20"/>
        </w:rPr>
        <w:t>município de Cáceres, acessada</w:t>
      </w:r>
      <w:r w:rsidRPr="00B131F6">
        <w:rPr>
          <w:rFonts w:ascii="Times New Roman" w:hAnsi="Times New Roman"/>
          <w:sz w:val="20"/>
          <w:szCs w:val="20"/>
        </w:rPr>
        <w:t xml:space="preserve"> </w:t>
      </w:r>
      <w:r w:rsidRPr="00B131F6">
        <w:rPr>
          <w:rFonts w:ascii="Times New Roman" w:hAnsi="Times New Roman"/>
          <w:color w:val="000000"/>
          <w:sz w:val="20"/>
          <w:szCs w:val="20"/>
        </w:rPr>
        <w:t>por meio d</w:t>
      </w:r>
      <w:r w:rsidRPr="00B131F6">
        <w:rPr>
          <w:rFonts w:ascii="Times New Roman" w:hAnsi="Times New Roman"/>
          <w:sz w:val="20"/>
          <w:szCs w:val="20"/>
        </w:rPr>
        <w:t>a MT- 343, km 10 a direita, sentido Cáceres - Barra do Bugres.</w:t>
      </w:r>
    </w:p>
  </w:footnote>
  <w:footnote w:id="3">
    <w:p w:rsidR="00E27E04" w:rsidRPr="00B131F6" w:rsidRDefault="00E27E04" w:rsidP="00E27E04">
      <w:pPr>
        <w:pStyle w:val="Textodenotaderodap"/>
        <w:spacing w:after="0" w:line="240" w:lineRule="auto"/>
        <w:jc w:val="both"/>
        <w:rPr>
          <w:rFonts w:ascii="Times New Roman" w:hAnsi="Times New Roman"/>
          <w:lang w:val="pt-BR"/>
        </w:rPr>
      </w:pPr>
      <w:r w:rsidRPr="00B131F6">
        <w:rPr>
          <w:rStyle w:val="Refdenotaderodap"/>
          <w:rFonts w:ascii="Times New Roman" w:hAnsi="Times New Roman"/>
        </w:rPr>
        <w:footnoteRef/>
      </w:r>
      <w:r w:rsidRPr="00B131F6">
        <w:rPr>
          <w:rFonts w:ascii="Times New Roman" w:hAnsi="Times New Roman"/>
        </w:rPr>
        <w:t xml:space="preserve"> A Rota das Águas é um roteiro turístico </w:t>
      </w:r>
      <w:r w:rsidRPr="00B131F6">
        <w:rPr>
          <w:rFonts w:ascii="Times New Roman" w:hAnsi="Times New Roman"/>
          <w:lang w:val="pt-BR"/>
        </w:rPr>
        <w:t xml:space="preserve">em planejamento </w:t>
      </w:r>
      <w:r w:rsidRPr="00B131F6">
        <w:rPr>
          <w:rFonts w:ascii="Times New Roman" w:hAnsi="Times New Roman"/>
        </w:rPr>
        <w:t xml:space="preserve">composto pelos municípios </w:t>
      </w:r>
      <w:r>
        <w:rPr>
          <w:rFonts w:ascii="Times New Roman" w:hAnsi="Times New Roman"/>
          <w:lang w:val="pt-BR"/>
        </w:rPr>
        <w:t xml:space="preserve">da região sudoeste </w:t>
      </w:r>
      <w:r w:rsidRPr="00B131F6">
        <w:rPr>
          <w:rFonts w:ascii="Times New Roman" w:hAnsi="Times New Roman"/>
        </w:rPr>
        <w:t>mato-grossense, que apresentam potenciais semelhantes em relação as belezas naturais, além de serem parecidos no desenvolvimento econômico e populacional</w:t>
      </w:r>
      <w:r w:rsidRPr="00B131F6">
        <w:rPr>
          <w:rFonts w:ascii="Times New Roman" w:hAnsi="Times New Roman"/>
          <w:lang w:val="pt-BR"/>
        </w:rPr>
        <w:t>, distando a</w:t>
      </w:r>
      <w:r w:rsidRPr="00B131F6">
        <w:rPr>
          <w:rFonts w:ascii="Times New Roman" w:hAnsi="Times New Roman"/>
        </w:rPr>
        <w:t xml:space="preserve"> 60 </w:t>
      </w:r>
      <w:r w:rsidRPr="00B131F6">
        <w:rPr>
          <w:rFonts w:ascii="Times New Roman" w:hAnsi="Times New Roman"/>
          <w:lang w:val="pt-BR"/>
        </w:rPr>
        <w:t>km</w:t>
      </w:r>
      <w:r w:rsidRPr="00B131F6">
        <w:rPr>
          <w:rFonts w:ascii="Times New Roman" w:hAnsi="Times New Roman"/>
        </w:rPr>
        <w:t xml:space="preserve"> d</w:t>
      </w:r>
      <w:r w:rsidRPr="00B131F6">
        <w:rPr>
          <w:rFonts w:ascii="Times New Roman" w:hAnsi="Times New Roman"/>
          <w:lang w:val="pt-BR"/>
        </w:rPr>
        <w:t>o município de</w:t>
      </w:r>
      <w:r w:rsidRPr="00B131F6">
        <w:rPr>
          <w:rFonts w:ascii="Times New Roman" w:hAnsi="Times New Roman"/>
        </w:rPr>
        <w:t xml:space="preserve"> Cáceres</w:t>
      </w:r>
      <w:r w:rsidRPr="00B131F6">
        <w:rPr>
          <w:rFonts w:ascii="Times New Roman" w:hAnsi="Times New Roman"/>
          <w:lang w:val="pt-BR"/>
        </w:rPr>
        <w:t xml:space="preserve">. </w:t>
      </w:r>
    </w:p>
  </w:footnote>
  <w:footnote w:id="4">
    <w:p w:rsidR="00E27E04" w:rsidRDefault="00E27E04" w:rsidP="00E27E04">
      <w:pPr>
        <w:pStyle w:val="Textodenotaderodap"/>
        <w:spacing w:after="0" w:line="240" w:lineRule="auto"/>
        <w:jc w:val="both"/>
        <w:rPr>
          <w:rFonts w:ascii="Times New Roman" w:hAnsi="Times New Roman"/>
          <w:lang w:val="pt-BR"/>
        </w:rPr>
      </w:pPr>
      <w:r w:rsidRPr="00B131F6">
        <w:rPr>
          <w:rStyle w:val="Refdenotaderodap"/>
          <w:rFonts w:ascii="Times New Roman" w:hAnsi="Times New Roman"/>
        </w:rPr>
        <w:footnoteRef/>
      </w:r>
      <w:r w:rsidRPr="00B131F6">
        <w:rPr>
          <w:rFonts w:ascii="Times New Roman" w:hAnsi="Times New Roman"/>
        </w:rPr>
        <w:t xml:space="preserve"> </w:t>
      </w:r>
      <w:r w:rsidRPr="00B131F6">
        <w:rPr>
          <w:rFonts w:ascii="Times New Roman" w:hAnsi="Times New Roman"/>
          <w:lang w:val="pt-BR"/>
        </w:rPr>
        <w:t xml:space="preserve">O Consórcio Intermunicipal </w:t>
      </w:r>
      <w:proofErr w:type="spellStart"/>
      <w:r w:rsidRPr="00B131F6">
        <w:rPr>
          <w:rFonts w:ascii="Times New Roman" w:hAnsi="Times New Roman"/>
          <w:lang w:val="pt-BR"/>
        </w:rPr>
        <w:t>Intermunicipal</w:t>
      </w:r>
      <w:proofErr w:type="spellEnd"/>
      <w:r w:rsidRPr="00B131F6">
        <w:rPr>
          <w:rFonts w:ascii="Times New Roman" w:hAnsi="Times New Roman"/>
          <w:lang w:val="pt-BR"/>
        </w:rPr>
        <w:t xml:space="preserve"> de Desenvolvimento Econômico e </w:t>
      </w:r>
      <w:proofErr w:type="gramStart"/>
      <w:r w:rsidRPr="00B131F6">
        <w:rPr>
          <w:rFonts w:ascii="Times New Roman" w:hAnsi="Times New Roman"/>
          <w:lang w:val="pt-BR"/>
        </w:rPr>
        <w:t>Socioambiental Complexo Nascentes</w:t>
      </w:r>
      <w:proofErr w:type="gramEnd"/>
      <w:r w:rsidRPr="00B131F6">
        <w:rPr>
          <w:rFonts w:ascii="Times New Roman" w:hAnsi="Times New Roman"/>
          <w:lang w:val="pt-BR"/>
        </w:rPr>
        <w:t xml:space="preserve"> do Pantanal, composto por 14 municípios (Araputanga, Cáceres, Curvelândia, Figueirópolis D’Oeste, Glória D’Oeste, Indiavaí, Jauru, Lambari D’Oeste, Mirassol D’Oeste, Porto Esperidião, Reserva do Cabaçal, Rio Branco, Salto do Céu e São José dos Quatro Marcos), tem por objetivo o planejamento de ações que promovam </w:t>
      </w:r>
      <w:r w:rsidRPr="00B131F6">
        <w:rPr>
          <w:rFonts w:ascii="Times New Roman" w:hAnsi="Times New Roman"/>
          <w:color w:val="333333"/>
          <w:shd w:val="clear" w:color="auto" w:fill="FFFFFF"/>
        </w:rPr>
        <w:t>políticas públicas voltadas ao desenvolvimento</w:t>
      </w:r>
      <w:r w:rsidRPr="00B131F6">
        <w:rPr>
          <w:rFonts w:ascii="Times New Roman" w:hAnsi="Times New Roman"/>
          <w:lang w:val="pt-BR"/>
        </w:rPr>
        <w:t xml:space="preserve"> socioeconômico e regional, bem como </w:t>
      </w:r>
      <w:r w:rsidRPr="00B131F6">
        <w:rPr>
          <w:rFonts w:ascii="Times New Roman" w:hAnsi="Times New Roman"/>
          <w:color w:val="333333"/>
          <w:shd w:val="clear" w:color="auto" w:fill="FFFFFF"/>
        </w:rPr>
        <w:t>d</w:t>
      </w:r>
      <w:r w:rsidRPr="00B131F6">
        <w:rPr>
          <w:rFonts w:ascii="Times New Roman" w:hAnsi="Times New Roman"/>
          <w:color w:val="333333"/>
          <w:shd w:val="clear" w:color="auto" w:fill="FFFFFF"/>
          <w:lang w:val="pt-BR"/>
        </w:rPr>
        <w:t>e</w:t>
      </w:r>
      <w:r w:rsidRPr="00B131F6">
        <w:rPr>
          <w:rFonts w:ascii="Times New Roman" w:hAnsi="Times New Roman"/>
          <w:color w:val="333333"/>
          <w:shd w:val="clear" w:color="auto" w:fill="FFFFFF"/>
        </w:rPr>
        <w:t xml:space="preserve"> agroindústria</w:t>
      </w:r>
      <w:r w:rsidRPr="00B131F6">
        <w:rPr>
          <w:rFonts w:ascii="Times New Roman" w:hAnsi="Times New Roman"/>
          <w:color w:val="333333"/>
          <w:shd w:val="clear" w:color="auto" w:fill="FFFFFF"/>
          <w:lang w:val="pt-BR"/>
        </w:rPr>
        <w:t xml:space="preserve">s, </w:t>
      </w:r>
      <w:r w:rsidRPr="00B131F6">
        <w:rPr>
          <w:rFonts w:ascii="Times New Roman" w:hAnsi="Times New Roman"/>
          <w:color w:val="333333"/>
          <w:shd w:val="clear" w:color="auto" w:fill="FFFFFF"/>
        </w:rPr>
        <w:t>da agricultura familiar</w:t>
      </w:r>
      <w:r w:rsidRPr="00B131F6">
        <w:rPr>
          <w:rFonts w:ascii="Times New Roman" w:hAnsi="Times New Roman"/>
          <w:lang w:val="pt-BR"/>
        </w:rPr>
        <w:t xml:space="preserve"> dos municípios.</w:t>
      </w:r>
    </w:p>
    <w:p w:rsidR="009B259E" w:rsidRDefault="009B259E" w:rsidP="00E27E04">
      <w:pPr>
        <w:pStyle w:val="Textodenotaderodap"/>
        <w:spacing w:after="0" w:line="240" w:lineRule="auto"/>
        <w:jc w:val="both"/>
        <w:rPr>
          <w:rFonts w:ascii="Times New Roman" w:hAnsi="Times New Roman"/>
          <w:lang w:val="pt-BR"/>
        </w:rPr>
      </w:pPr>
    </w:p>
    <w:p w:rsidR="009B259E" w:rsidRDefault="009B259E" w:rsidP="00E27E04">
      <w:pPr>
        <w:pStyle w:val="Textodenotaderodap"/>
        <w:spacing w:after="0" w:line="240" w:lineRule="auto"/>
        <w:jc w:val="both"/>
        <w:rPr>
          <w:rFonts w:ascii="Times New Roman" w:hAnsi="Times New Roman"/>
          <w:lang w:val="pt-BR"/>
        </w:rPr>
      </w:pPr>
    </w:p>
    <w:p w:rsidR="009B259E" w:rsidRPr="00B131F6" w:rsidRDefault="009B259E" w:rsidP="00E27E04">
      <w:pPr>
        <w:pStyle w:val="Textodenotaderodap"/>
        <w:spacing w:after="0" w:line="240" w:lineRule="auto"/>
        <w:jc w:val="both"/>
        <w:rPr>
          <w:rFonts w:ascii="Times New Roman" w:hAnsi="Times New Roman"/>
          <w:lang w:val="pt-BR"/>
        </w:rPr>
      </w:pPr>
    </w:p>
    <w:p w:rsidR="00E27E04" w:rsidRPr="003E48D9" w:rsidRDefault="00E27E04" w:rsidP="00E27E04">
      <w:pPr>
        <w:pStyle w:val="Textodenotaderodap"/>
        <w:spacing w:after="0" w:line="240" w:lineRule="auto"/>
        <w:jc w:val="both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04"/>
    <w:rsid w:val="004655AB"/>
    <w:rsid w:val="007B7744"/>
    <w:rsid w:val="00867A44"/>
    <w:rsid w:val="009B259E"/>
    <w:rsid w:val="00A82649"/>
    <w:rsid w:val="00DA7970"/>
    <w:rsid w:val="00E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7E04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7E04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uiPriority w:val="99"/>
    <w:unhideWhenUsed/>
    <w:rsid w:val="00E27E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7E04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7E04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uiPriority w:val="99"/>
    <w:unhideWhenUsed/>
    <w:rsid w:val="00E27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2</cp:revision>
  <dcterms:created xsi:type="dcterms:W3CDTF">2016-02-16T19:55:00Z</dcterms:created>
  <dcterms:modified xsi:type="dcterms:W3CDTF">2016-02-16T19:55:00Z</dcterms:modified>
</cp:coreProperties>
</file>