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55" w:rsidRPr="00AF3728" w:rsidRDefault="00E33155" w:rsidP="00E3315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F3728">
        <w:rPr>
          <w:rFonts w:ascii="Times New Roman" w:hAnsi="Times New Roman" w:cs="Times New Roman"/>
        </w:rPr>
        <w:t>Tabela 1 – Taxas de Mortalidade Infantil (TMI) e Índice de Desenvolvimento Humano Municipal (IDHM), segundo Brasil, Grandes regiões e Unidades da Federação - 2000/2010</w:t>
      </w:r>
      <w:bookmarkStart w:id="0" w:name="_GoBack"/>
      <w:bookmarkEnd w:id="0"/>
    </w:p>
    <w:p w:rsidR="00E33155" w:rsidRPr="00AF3728" w:rsidRDefault="00E33155" w:rsidP="00E3315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8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1710"/>
        <w:gridCol w:w="1710"/>
        <w:gridCol w:w="1600"/>
        <w:gridCol w:w="1600"/>
      </w:tblGrid>
      <w:tr w:rsidR="00E33155" w:rsidRPr="00AF3728" w:rsidTr="00996F67">
        <w:trPr>
          <w:trHeight w:val="414"/>
        </w:trPr>
        <w:tc>
          <w:tcPr>
            <w:tcW w:w="23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Grandes Regiões e Unidades da Federação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 xml:space="preserve">TMI ‰ 2000 </w:t>
            </w: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 xml:space="preserve">TMI ‰ 2010 </w:t>
            </w: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 xml:space="preserve">IDHM 2000 </w:t>
            </w: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pt-BR"/>
              </w:rPr>
              <w:t>(2)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 xml:space="preserve">IDHM 2010 </w:t>
            </w: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pt-BR"/>
              </w:rPr>
              <w:t>(2)</w:t>
            </w:r>
          </w:p>
        </w:tc>
      </w:tr>
      <w:tr w:rsidR="00E33155" w:rsidRPr="00AF3728" w:rsidTr="00996F67">
        <w:trPr>
          <w:trHeight w:val="414"/>
        </w:trPr>
        <w:tc>
          <w:tcPr>
            <w:tcW w:w="23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Brasil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26,10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0,727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 xml:space="preserve">      Norte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32,80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20,97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0,527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0,667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Acre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29,20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20,42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0,663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Amazonas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34,80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20,57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0,674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Amapá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32,87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25,41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0,708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Pará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32,30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21,46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0,646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Rondônia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31,94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0,690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Roraima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22,22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0,707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36,92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20,45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0,699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 xml:space="preserve">     Nordeste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35,93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19,09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0,516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0,663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Alagoas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37,70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0,471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0,631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Bahia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34,56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21,04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0,660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Ceará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36,79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16,23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0,682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Maranhão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36,80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21,88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0,476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0,639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Paraíba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39,16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0,658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Pernambuco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33,96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17,04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0,673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Piauí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37,79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20,70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0,484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0,646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Rio grande do Norte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34,47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17,23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0,684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Sergipe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37,65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0,518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0,665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 xml:space="preserve">     Centro-Oeste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22,32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15,93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0,757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Distrito federal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15,27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12,16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0,824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Goiás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21,21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15,89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0,735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Mato Grosso do Sul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24,37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15,44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0,729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Mato Grosso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29,38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19,55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0,725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 xml:space="preserve">     Sudeste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20,09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13,43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0,766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Espírito Santo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18,13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11,91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0,740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Minas Gerais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25,73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16,16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0,731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Rio de Janeiro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20,50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14,31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0,761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São Paulo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17,37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12,04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0,783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 xml:space="preserve">     Sul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16,92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11,58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0,660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  <w:t>0,754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Paraná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19,02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12,03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0,749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Rio Grande do Sul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15,33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11,33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0,746</w:t>
            </w:r>
          </w:p>
        </w:tc>
      </w:tr>
      <w:tr w:rsidR="00E33155" w:rsidRPr="00AF3728" w:rsidTr="00996F67">
        <w:trPr>
          <w:trHeight w:val="315"/>
        </w:trPr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Santa Catarina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11,18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155" w:rsidRPr="00AF3728" w:rsidRDefault="00E33155" w:rsidP="00996F6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AF3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  <w:t>0,774</w:t>
            </w:r>
          </w:p>
        </w:tc>
      </w:tr>
    </w:tbl>
    <w:p w:rsidR="0056798A" w:rsidRPr="00E33155" w:rsidRDefault="00E33155" w:rsidP="00E33155">
      <w:pPr>
        <w:pStyle w:val="Standard"/>
        <w:jc w:val="both"/>
        <w:rPr>
          <w:rFonts w:ascii="Times New Roman" w:hAnsi="Times New Roman" w:cs="Times New Roman"/>
        </w:rPr>
      </w:pPr>
      <w:r w:rsidRPr="00AF3728">
        <w:rPr>
          <w:rFonts w:ascii="Times New Roman" w:hAnsi="Times New Roman" w:cs="Times New Roman"/>
          <w:sz w:val="20"/>
          <w:szCs w:val="20"/>
        </w:rPr>
        <w:t>Fonte: (1) (RIPSA, 2012). (2) (PNUD, 2013, 2016).</w:t>
      </w:r>
    </w:p>
    <w:sectPr w:rsidR="0056798A" w:rsidRPr="00E33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55"/>
    <w:rsid w:val="0056798A"/>
    <w:rsid w:val="009E127B"/>
    <w:rsid w:val="00E3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7040E-34EB-4E74-ADE9-4A984916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55"/>
    <w:pPr>
      <w:suppressAutoHyphens/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315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2</cp:revision>
  <dcterms:created xsi:type="dcterms:W3CDTF">2017-04-03T19:30:00Z</dcterms:created>
  <dcterms:modified xsi:type="dcterms:W3CDTF">2017-04-03T19:33:00Z</dcterms:modified>
</cp:coreProperties>
</file>